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FFBE" w14:textId="53D69ADB" w:rsidR="00245DE4" w:rsidRDefault="50A8018D" w:rsidP="009A6CCE">
      <w:pPr>
        <w:pStyle w:val="Heading1"/>
        <w:rPr>
          <w:rFonts w:ascii="Calibri" w:eastAsia="Calibri" w:hAnsi="Calibri" w:cs="Calibri"/>
        </w:rPr>
      </w:pPr>
      <w:r w:rsidRPr="3DF8B32C">
        <w:t>Policy updates July 25</w:t>
      </w:r>
      <w:r w:rsidRPr="3DF8B32C">
        <w:rPr>
          <w:vertAlign w:val="superscript"/>
        </w:rPr>
        <w:t>th</w:t>
      </w:r>
      <w:r w:rsidRPr="3DF8B32C">
        <w:t xml:space="preserve"> – 5</w:t>
      </w:r>
      <w:r w:rsidRPr="3DF8B32C">
        <w:rPr>
          <w:vertAlign w:val="superscript"/>
        </w:rPr>
        <w:t>th</w:t>
      </w:r>
      <w:r w:rsidRPr="3DF8B32C">
        <w:t xml:space="preserve"> August 2022</w:t>
      </w:r>
    </w:p>
    <w:p w14:paraId="40C9FD62" w14:textId="2D54AA32" w:rsidR="3DF8B32C" w:rsidRPr="009A6CCE" w:rsidRDefault="00CE64E1" w:rsidP="009A6CCE">
      <w:pPr>
        <w:pStyle w:val="Heading2"/>
      </w:pPr>
      <w:r w:rsidRPr="009A6CCE">
        <w:t>Rental Reform update</w:t>
      </w:r>
    </w:p>
    <w:p w14:paraId="2CC2FBEF" w14:textId="34D57A15" w:rsidR="00D035B9" w:rsidRPr="009F2298" w:rsidRDefault="00D035B9" w:rsidP="50AEF15C">
      <w:pPr>
        <w:pStyle w:val="NormalWeb"/>
        <w:shd w:val="clear" w:color="auto" w:fill="FFFFFF" w:themeFill="background1"/>
        <w:spacing w:before="0" w:beforeAutospacing="0" w:after="158" w:afterAutospacing="0"/>
        <w:rPr>
          <w:rFonts w:asciiTheme="minorHAnsi" w:eastAsia="Arial" w:hAnsiTheme="minorHAnsi" w:cstheme="minorHAnsi"/>
          <w:color w:val="3F4142"/>
        </w:rPr>
      </w:pPr>
      <w:r w:rsidRPr="009F2298">
        <w:rPr>
          <w:rFonts w:asciiTheme="minorHAnsi" w:eastAsia="Arial" w:hAnsiTheme="minorHAnsi" w:cstheme="minorHAnsi"/>
          <w:color w:val="3F4142"/>
        </w:rPr>
        <w:t>The Residential Tenancies Authority (RTA) is launching an education campaign to increase Queensland’s residential rental sector’s understanding of the new </w:t>
      </w:r>
      <w:hyperlink r:id="rId10">
        <w:r w:rsidRPr="009F2298">
          <w:rPr>
            <w:rStyle w:val="Hyperlink"/>
            <w:rFonts w:asciiTheme="minorHAnsi" w:eastAsia="Arial" w:hAnsiTheme="minorHAnsi" w:cstheme="minorHAnsi"/>
            <w:color w:val="176EAA"/>
            <w:u w:val="none"/>
          </w:rPr>
          <w:t>rental law</w:t>
        </w:r>
        <w:r w:rsidR="00EE4941" w:rsidRPr="009F2298">
          <w:rPr>
            <w:rStyle w:val="Hyperlink"/>
            <w:rFonts w:asciiTheme="minorHAnsi" w:eastAsia="Arial" w:hAnsiTheme="minorHAnsi" w:cstheme="minorHAnsi"/>
            <w:color w:val="176EAA"/>
            <w:u w:val="none"/>
          </w:rPr>
          <w:t xml:space="preserve"> c</w:t>
        </w:r>
        <w:r w:rsidRPr="009F2298">
          <w:rPr>
            <w:rStyle w:val="Hyperlink"/>
            <w:rFonts w:asciiTheme="minorHAnsi" w:eastAsia="Arial" w:hAnsiTheme="minorHAnsi" w:cstheme="minorHAnsi"/>
            <w:color w:val="176EAA"/>
            <w:u w:val="none"/>
          </w:rPr>
          <w:t>hanges</w:t>
        </w:r>
      </w:hyperlink>
      <w:r w:rsidRPr="009F2298">
        <w:rPr>
          <w:rFonts w:asciiTheme="minorHAnsi" w:eastAsia="Arial" w:hAnsiTheme="minorHAnsi" w:cstheme="minorHAnsi"/>
          <w:color w:val="3F4142"/>
        </w:rPr>
        <w:t> coming into effect from 1 October 2022.</w:t>
      </w:r>
    </w:p>
    <w:p w14:paraId="4F47D2C5" w14:textId="77777777" w:rsidR="00D035B9" w:rsidRPr="009F2298" w:rsidRDefault="00D035B9" w:rsidP="50AEF15C">
      <w:pPr>
        <w:pStyle w:val="NormalWeb"/>
        <w:shd w:val="clear" w:color="auto" w:fill="FFFFFF" w:themeFill="background1"/>
        <w:spacing w:before="0" w:beforeAutospacing="0" w:after="0" w:afterAutospacing="0"/>
        <w:rPr>
          <w:rFonts w:asciiTheme="minorHAnsi" w:eastAsia="Arial" w:hAnsiTheme="minorHAnsi" w:cstheme="minorHAnsi"/>
          <w:color w:val="3F4142"/>
        </w:rPr>
      </w:pPr>
      <w:r w:rsidRPr="009F2298">
        <w:rPr>
          <w:rFonts w:asciiTheme="minorHAnsi" w:eastAsia="Arial" w:hAnsiTheme="minorHAnsi" w:cstheme="minorHAnsi"/>
          <w:color w:val="3F4142"/>
        </w:rPr>
        <w:t>This education campaign will have a strong focus on providing information and resources on all the key changes, including: </w:t>
      </w:r>
    </w:p>
    <w:p w14:paraId="116DAC55" w14:textId="77777777" w:rsidR="00D035B9" w:rsidRPr="009F2298" w:rsidRDefault="00D035B9" w:rsidP="50AEF15C">
      <w:pPr>
        <w:numPr>
          <w:ilvl w:val="0"/>
          <w:numId w:val="5"/>
        </w:numPr>
        <w:shd w:val="clear" w:color="auto" w:fill="FFFFFF" w:themeFill="background1"/>
        <w:spacing w:after="100" w:afterAutospacing="1" w:line="240" w:lineRule="auto"/>
        <w:rPr>
          <w:rFonts w:eastAsia="Arial" w:cstheme="minorHAnsi"/>
          <w:color w:val="3F4142"/>
          <w:szCs w:val="24"/>
        </w:rPr>
      </w:pPr>
      <w:r w:rsidRPr="009F2298">
        <w:rPr>
          <w:rFonts w:eastAsia="Arial" w:cstheme="minorHAnsi"/>
          <w:color w:val="3F4142"/>
          <w:szCs w:val="24"/>
        </w:rPr>
        <w:t>new laws around ending tenancies </w:t>
      </w:r>
    </w:p>
    <w:p w14:paraId="3778E769" w14:textId="77777777" w:rsidR="00D035B9" w:rsidRPr="009F2298" w:rsidRDefault="00D035B9" w:rsidP="50AEF15C">
      <w:pPr>
        <w:numPr>
          <w:ilvl w:val="0"/>
          <w:numId w:val="5"/>
        </w:numPr>
        <w:shd w:val="clear" w:color="auto" w:fill="FFFFFF" w:themeFill="background1"/>
        <w:spacing w:before="100" w:beforeAutospacing="1" w:after="100" w:afterAutospacing="1" w:line="240" w:lineRule="auto"/>
        <w:rPr>
          <w:rFonts w:eastAsia="Arial" w:cstheme="minorHAnsi"/>
          <w:color w:val="3F4142"/>
          <w:szCs w:val="24"/>
        </w:rPr>
      </w:pPr>
      <w:r w:rsidRPr="009F2298">
        <w:rPr>
          <w:rFonts w:eastAsia="Arial" w:cstheme="minorHAnsi"/>
          <w:color w:val="3F4142"/>
          <w:szCs w:val="24"/>
        </w:rPr>
        <w:t>the new framework for renting with pets </w:t>
      </w:r>
    </w:p>
    <w:p w14:paraId="34527944" w14:textId="77777777" w:rsidR="00D035B9" w:rsidRPr="009F2298" w:rsidRDefault="00D035B9" w:rsidP="50AEF15C">
      <w:pPr>
        <w:numPr>
          <w:ilvl w:val="0"/>
          <w:numId w:val="5"/>
        </w:numPr>
        <w:shd w:val="clear" w:color="auto" w:fill="FFFFFF" w:themeFill="background1"/>
        <w:spacing w:before="100" w:beforeAutospacing="1" w:after="100" w:afterAutospacing="1" w:line="240" w:lineRule="auto"/>
        <w:rPr>
          <w:rFonts w:eastAsia="Arial" w:cstheme="minorHAnsi"/>
          <w:color w:val="3F4142"/>
          <w:szCs w:val="24"/>
        </w:rPr>
      </w:pPr>
      <w:r w:rsidRPr="009F2298">
        <w:rPr>
          <w:rFonts w:eastAsia="Arial" w:cstheme="minorHAnsi"/>
          <w:color w:val="3F4142"/>
          <w:szCs w:val="24"/>
        </w:rPr>
        <w:t>new repair order requirements, and </w:t>
      </w:r>
    </w:p>
    <w:p w14:paraId="5B03028A" w14:textId="77777777" w:rsidR="00D035B9" w:rsidRPr="009F2298" w:rsidRDefault="00D035B9" w:rsidP="50AEF15C">
      <w:pPr>
        <w:numPr>
          <w:ilvl w:val="0"/>
          <w:numId w:val="5"/>
        </w:numPr>
        <w:shd w:val="clear" w:color="auto" w:fill="FFFFFF" w:themeFill="background1"/>
        <w:spacing w:before="100" w:beforeAutospacing="1" w:after="100" w:afterAutospacing="1" w:line="240" w:lineRule="auto"/>
        <w:rPr>
          <w:rFonts w:eastAsia="Arial" w:cstheme="minorHAnsi"/>
          <w:color w:val="3F4142"/>
          <w:szCs w:val="24"/>
        </w:rPr>
      </w:pPr>
      <w:r w:rsidRPr="009F2298">
        <w:rPr>
          <w:rFonts w:eastAsia="Arial" w:cstheme="minorHAnsi"/>
          <w:color w:val="3F4142"/>
          <w:szCs w:val="24"/>
        </w:rPr>
        <w:t>other important amendments related to tenancy obligations. </w:t>
      </w:r>
    </w:p>
    <w:p w14:paraId="1D8543FF" w14:textId="08C83D33" w:rsidR="00D035B9" w:rsidRPr="009F2298" w:rsidRDefault="00D035B9" w:rsidP="50AEF15C">
      <w:pPr>
        <w:pStyle w:val="NormalWeb"/>
        <w:shd w:val="clear" w:color="auto" w:fill="FFFFFF" w:themeFill="background1"/>
        <w:spacing w:before="0" w:beforeAutospacing="0" w:after="158" w:afterAutospacing="0"/>
        <w:rPr>
          <w:rFonts w:asciiTheme="minorHAnsi" w:eastAsia="Arial" w:hAnsiTheme="minorHAnsi" w:cstheme="minorHAnsi"/>
          <w:color w:val="3F4142"/>
        </w:rPr>
      </w:pPr>
      <w:r w:rsidRPr="009F2298">
        <w:rPr>
          <w:rFonts w:asciiTheme="minorHAnsi" w:eastAsia="Arial" w:hAnsiTheme="minorHAnsi" w:cstheme="minorHAnsi"/>
          <w:color w:val="3F4142"/>
        </w:rPr>
        <w:t>The Queensland Government has released the </w:t>
      </w:r>
      <w:hyperlink r:id="rId11">
        <w:r w:rsidRPr="009F2298">
          <w:rPr>
            <w:rStyle w:val="Hyperlink"/>
            <w:rFonts w:asciiTheme="minorHAnsi" w:eastAsia="Arial" w:hAnsiTheme="minorHAnsi" w:cstheme="minorHAnsi"/>
            <w:color w:val="176EAA"/>
            <w:u w:val="none"/>
          </w:rPr>
          <w:t>Residential Tenancies and Rooming Accommodation Amendment Regulation 2022</w:t>
        </w:r>
      </w:hyperlink>
      <w:r w:rsidRPr="009F2298">
        <w:rPr>
          <w:rFonts w:asciiTheme="minorHAnsi" w:eastAsia="Arial" w:hAnsiTheme="minorHAnsi" w:cstheme="minorHAnsi"/>
          <w:color w:val="3F4142"/>
        </w:rPr>
        <w:t> (RTRA Amendment Regulation) which provides further information about the tenancy law changes. </w:t>
      </w:r>
    </w:p>
    <w:p w14:paraId="1C8E5BA4" w14:textId="77777777" w:rsidR="00D035B9" w:rsidRDefault="00D035B9" w:rsidP="50AEF15C">
      <w:pPr>
        <w:pStyle w:val="NormalWeb"/>
        <w:shd w:val="clear" w:color="auto" w:fill="FFFFFF" w:themeFill="background1"/>
        <w:spacing w:before="0" w:beforeAutospacing="0" w:after="158" w:afterAutospacing="0"/>
        <w:rPr>
          <w:rFonts w:asciiTheme="minorHAnsi" w:eastAsia="Arial" w:hAnsiTheme="minorHAnsi" w:cstheme="minorHAnsi"/>
          <w:color w:val="3F4142"/>
        </w:rPr>
      </w:pPr>
      <w:r w:rsidRPr="009F2298">
        <w:rPr>
          <w:rFonts w:asciiTheme="minorHAnsi" w:eastAsia="Arial" w:hAnsiTheme="minorHAnsi" w:cstheme="minorHAnsi"/>
          <w:color w:val="3F4142"/>
        </w:rPr>
        <w:t>Information and helpful resources on these changes are being developed for tenants, property managers and property owners and will be made available on the </w:t>
      </w:r>
      <w:hyperlink r:id="rId12">
        <w:r w:rsidRPr="009F2298">
          <w:rPr>
            <w:rStyle w:val="Hyperlink"/>
            <w:rFonts w:asciiTheme="minorHAnsi" w:eastAsia="Arial" w:hAnsiTheme="minorHAnsi" w:cstheme="minorHAnsi"/>
            <w:color w:val="176EAA"/>
            <w:u w:val="none"/>
          </w:rPr>
          <w:t>RTA website</w:t>
        </w:r>
      </w:hyperlink>
      <w:r w:rsidRPr="009F2298">
        <w:rPr>
          <w:rFonts w:asciiTheme="minorHAnsi" w:eastAsia="Arial" w:hAnsiTheme="minorHAnsi" w:cstheme="minorHAnsi"/>
          <w:color w:val="3F4142"/>
        </w:rPr>
        <w:t> so stay tuned. Opportunities to register and attend online webinars about the rental law changes from the comfort of your own home or office will open in the following weeks.</w:t>
      </w:r>
    </w:p>
    <w:p w14:paraId="2008784F" w14:textId="77777777" w:rsidR="009F2298" w:rsidRPr="009F2298" w:rsidRDefault="009F2298" w:rsidP="50AEF15C">
      <w:pPr>
        <w:pStyle w:val="NormalWeb"/>
        <w:shd w:val="clear" w:color="auto" w:fill="FFFFFF" w:themeFill="background1"/>
        <w:spacing w:before="0" w:beforeAutospacing="0" w:after="158" w:afterAutospacing="0"/>
        <w:rPr>
          <w:rFonts w:asciiTheme="minorHAnsi" w:eastAsia="Arial" w:hAnsiTheme="minorHAnsi" w:cstheme="minorHAnsi"/>
          <w:color w:val="3F4142"/>
        </w:rPr>
      </w:pPr>
    </w:p>
    <w:p w14:paraId="6350F3D3" w14:textId="0BA4B855" w:rsidR="00D5063A" w:rsidRPr="009F2298" w:rsidRDefault="00D5063A" w:rsidP="009F2298">
      <w:pPr>
        <w:pStyle w:val="Heading2"/>
      </w:pPr>
      <w:r w:rsidRPr="009F2298">
        <w:t xml:space="preserve">Free RATs for Concession Card holders </w:t>
      </w:r>
    </w:p>
    <w:p w14:paraId="26A662DF" w14:textId="77777777" w:rsidR="005F42F8" w:rsidRPr="009F2298" w:rsidRDefault="005F42F8" w:rsidP="50AEF15C">
      <w:pPr>
        <w:pStyle w:val="NormalWeb"/>
        <w:shd w:val="clear" w:color="auto" w:fill="FFFFFF" w:themeFill="background1"/>
        <w:spacing w:before="0" w:beforeAutospacing="0"/>
        <w:rPr>
          <w:rFonts w:asciiTheme="minorHAnsi" w:eastAsia="Arial" w:hAnsiTheme="minorHAnsi" w:cstheme="minorHAnsi"/>
          <w:color w:val="212529"/>
        </w:rPr>
      </w:pPr>
      <w:r w:rsidRPr="009F2298">
        <w:rPr>
          <w:rFonts w:asciiTheme="minorHAnsi" w:eastAsia="Arial" w:hAnsiTheme="minorHAnsi" w:cstheme="minorHAnsi"/>
          <w:color w:val="212529"/>
        </w:rPr>
        <w:t>From 1 August 2022, if you hold an eligible Commonwealth Concession card, you can get free RAT kits at Queensland Health RAT distribution points. You can get up to 5 RAT kits per month and you can get all five from a single visit.</w:t>
      </w:r>
    </w:p>
    <w:p w14:paraId="18C7E38D" w14:textId="77777777" w:rsidR="007B39E3" w:rsidRPr="009F2298" w:rsidRDefault="007B39E3" w:rsidP="4A9A0F83">
      <w:pPr>
        <w:shd w:val="clear" w:color="auto" w:fill="FFFFFF" w:themeFill="background1"/>
        <w:spacing w:after="0" w:line="240" w:lineRule="auto"/>
        <w:rPr>
          <w:rFonts w:eastAsia="Arial" w:cstheme="minorHAnsi"/>
          <w:color w:val="212529"/>
          <w:szCs w:val="24"/>
          <w:lang w:val="en-AU" w:eastAsia="en-AU"/>
        </w:rPr>
      </w:pPr>
      <w:r w:rsidRPr="009F2298">
        <w:rPr>
          <w:rFonts w:eastAsia="Arial" w:cstheme="minorHAnsi"/>
          <w:color w:val="212529"/>
          <w:szCs w:val="24"/>
          <w:lang w:val="en-AU" w:eastAsia="en-AU"/>
        </w:rPr>
        <w:t>To get free RATs, you must hold one of these cards:</w:t>
      </w:r>
    </w:p>
    <w:p w14:paraId="47714FAB" w14:textId="77777777" w:rsidR="007B39E3" w:rsidRPr="009F2298" w:rsidRDefault="007B39E3" w:rsidP="50AEF15C">
      <w:pPr>
        <w:numPr>
          <w:ilvl w:val="0"/>
          <w:numId w:val="6"/>
        </w:numPr>
        <w:shd w:val="clear" w:color="auto" w:fill="FFFFFF" w:themeFill="background1"/>
        <w:spacing w:after="100" w:afterAutospacing="1" w:line="240" w:lineRule="auto"/>
        <w:rPr>
          <w:rFonts w:eastAsia="Arial" w:cstheme="minorHAnsi"/>
          <w:color w:val="212529"/>
          <w:szCs w:val="24"/>
          <w:lang w:val="en-AU" w:eastAsia="en-AU"/>
        </w:rPr>
      </w:pPr>
      <w:r w:rsidRPr="009F2298">
        <w:rPr>
          <w:rFonts w:eastAsia="Arial" w:cstheme="minorHAnsi"/>
          <w:color w:val="212529"/>
          <w:szCs w:val="24"/>
          <w:lang w:val="en-AU" w:eastAsia="en-AU"/>
        </w:rPr>
        <w:t>Commonwealth Seniors Health Card</w:t>
      </w:r>
    </w:p>
    <w:p w14:paraId="610A3CD8" w14:textId="77777777" w:rsidR="007B39E3" w:rsidRPr="009F2298" w:rsidRDefault="007B39E3" w:rsidP="50AEF15C">
      <w:pPr>
        <w:numPr>
          <w:ilvl w:val="0"/>
          <w:numId w:val="6"/>
        </w:numPr>
        <w:shd w:val="clear" w:color="auto" w:fill="FFFFFF" w:themeFill="background1"/>
        <w:spacing w:before="100" w:beforeAutospacing="1" w:after="100" w:afterAutospacing="1" w:line="240" w:lineRule="auto"/>
        <w:rPr>
          <w:rFonts w:eastAsia="Arial" w:cstheme="minorHAnsi"/>
          <w:color w:val="212529"/>
          <w:szCs w:val="24"/>
          <w:lang w:val="en-AU" w:eastAsia="en-AU"/>
        </w:rPr>
      </w:pPr>
      <w:r w:rsidRPr="009F2298">
        <w:rPr>
          <w:rFonts w:eastAsia="Arial" w:cstheme="minorHAnsi"/>
          <w:color w:val="212529"/>
          <w:szCs w:val="24"/>
          <w:lang w:val="en-AU" w:eastAsia="en-AU"/>
        </w:rPr>
        <w:t>Health Care Card</w:t>
      </w:r>
    </w:p>
    <w:p w14:paraId="60CD0F9F" w14:textId="77777777" w:rsidR="007B39E3" w:rsidRPr="009F2298" w:rsidRDefault="007B39E3" w:rsidP="50AEF15C">
      <w:pPr>
        <w:numPr>
          <w:ilvl w:val="0"/>
          <w:numId w:val="6"/>
        </w:numPr>
        <w:shd w:val="clear" w:color="auto" w:fill="FFFFFF" w:themeFill="background1"/>
        <w:spacing w:before="100" w:beforeAutospacing="1" w:after="100" w:afterAutospacing="1" w:line="240" w:lineRule="auto"/>
        <w:rPr>
          <w:rFonts w:eastAsia="Arial" w:cstheme="minorHAnsi"/>
          <w:color w:val="212529"/>
          <w:szCs w:val="24"/>
          <w:lang w:val="en-AU" w:eastAsia="en-AU"/>
        </w:rPr>
      </w:pPr>
      <w:r w:rsidRPr="009F2298">
        <w:rPr>
          <w:rFonts w:eastAsia="Arial" w:cstheme="minorHAnsi"/>
          <w:color w:val="212529"/>
          <w:szCs w:val="24"/>
          <w:lang w:val="en-AU" w:eastAsia="en-AU"/>
        </w:rPr>
        <w:t>Low Income Health Care Card</w:t>
      </w:r>
    </w:p>
    <w:p w14:paraId="35DD28D8" w14:textId="77777777" w:rsidR="007B39E3" w:rsidRPr="009F2298" w:rsidRDefault="007B39E3" w:rsidP="50AEF15C">
      <w:pPr>
        <w:numPr>
          <w:ilvl w:val="0"/>
          <w:numId w:val="6"/>
        </w:numPr>
        <w:shd w:val="clear" w:color="auto" w:fill="FFFFFF" w:themeFill="background1"/>
        <w:spacing w:before="100" w:beforeAutospacing="1" w:after="100" w:afterAutospacing="1" w:line="240" w:lineRule="auto"/>
        <w:rPr>
          <w:rFonts w:eastAsia="Arial" w:cstheme="minorHAnsi"/>
          <w:color w:val="212529"/>
          <w:szCs w:val="24"/>
          <w:lang w:val="en-AU" w:eastAsia="en-AU"/>
        </w:rPr>
      </w:pPr>
      <w:r w:rsidRPr="009F2298">
        <w:rPr>
          <w:rFonts w:eastAsia="Arial" w:cstheme="minorHAnsi"/>
          <w:color w:val="212529"/>
          <w:szCs w:val="24"/>
          <w:lang w:val="en-AU" w:eastAsia="en-AU"/>
        </w:rPr>
        <w:t>Pensioner Concession Card</w:t>
      </w:r>
    </w:p>
    <w:p w14:paraId="1992BAD2" w14:textId="77777777" w:rsidR="00263E95" w:rsidRPr="009F2298" w:rsidRDefault="007B39E3" w:rsidP="50AEF15C">
      <w:pPr>
        <w:numPr>
          <w:ilvl w:val="0"/>
          <w:numId w:val="6"/>
        </w:numPr>
        <w:shd w:val="clear" w:color="auto" w:fill="FFFFFF" w:themeFill="background1"/>
        <w:spacing w:before="100" w:beforeAutospacing="1" w:after="100" w:afterAutospacing="1" w:line="240" w:lineRule="auto"/>
        <w:rPr>
          <w:rFonts w:eastAsia="Arial" w:cstheme="minorHAnsi"/>
          <w:color w:val="212529"/>
          <w:szCs w:val="24"/>
          <w:lang w:val="en-AU" w:eastAsia="en-AU"/>
        </w:rPr>
      </w:pPr>
      <w:r w:rsidRPr="009F2298">
        <w:rPr>
          <w:rFonts w:eastAsia="Arial" w:cstheme="minorHAnsi"/>
          <w:color w:val="212529"/>
          <w:szCs w:val="24"/>
          <w:lang w:val="en-AU" w:eastAsia="en-AU"/>
        </w:rPr>
        <w:t>Department of Veterans’ Affairs Gold, White or Orange card.</w:t>
      </w:r>
    </w:p>
    <w:p w14:paraId="4A76C80A" w14:textId="77777777" w:rsidR="005F42F8" w:rsidRPr="009F2298" w:rsidRDefault="005F42F8" w:rsidP="50AEF15C">
      <w:pPr>
        <w:pStyle w:val="NormalWeb"/>
        <w:shd w:val="clear" w:color="auto" w:fill="FFFFFF" w:themeFill="background1"/>
        <w:spacing w:before="0" w:beforeAutospacing="0" w:after="0" w:afterAutospacing="0"/>
        <w:rPr>
          <w:rFonts w:asciiTheme="minorHAnsi" w:eastAsia="Arial" w:hAnsiTheme="minorHAnsi" w:cstheme="minorHAnsi"/>
          <w:color w:val="212529"/>
        </w:rPr>
      </w:pPr>
      <w:r w:rsidRPr="009F2298">
        <w:rPr>
          <w:rFonts w:asciiTheme="minorHAnsi" w:eastAsia="Arial" w:hAnsiTheme="minorHAnsi" w:cstheme="minorHAnsi"/>
          <w:color w:val="212529"/>
        </w:rPr>
        <w:t>You can get a carer or guardian to pick up your RATs if you’re eligible but can’t get them yourself. They will need to show your card when they go to the Queensland Health facility.</w:t>
      </w:r>
    </w:p>
    <w:p w14:paraId="49E50ECF" w14:textId="77777777" w:rsidR="005F42F8" w:rsidRPr="009F2298" w:rsidRDefault="005F42F8" w:rsidP="50AEF15C">
      <w:pPr>
        <w:pStyle w:val="NormalWeb"/>
        <w:shd w:val="clear" w:color="auto" w:fill="FFFFFF" w:themeFill="background1"/>
        <w:spacing w:before="0" w:beforeAutospacing="0" w:after="0" w:afterAutospacing="0"/>
        <w:rPr>
          <w:rFonts w:asciiTheme="minorHAnsi" w:eastAsia="Arial" w:hAnsiTheme="minorHAnsi" w:cstheme="minorHAnsi"/>
          <w:color w:val="212529"/>
        </w:rPr>
      </w:pPr>
      <w:r w:rsidRPr="009F2298">
        <w:rPr>
          <w:rFonts w:asciiTheme="minorHAnsi" w:eastAsia="Arial" w:hAnsiTheme="minorHAnsi" w:cstheme="minorHAnsi"/>
          <w:color w:val="212529"/>
        </w:rPr>
        <w:t>To protect others from COVID-19, wear a face mask if you have any COVID-19 symptoms.</w:t>
      </w:r>
    </w:p>
    <w:p w14:paraId="6936EC5A" w14:textId="24C2E8C8" w:rsidR="00663B01" w:rsidRPr="009F2298" w:rsidRDefault="00663B01" w:rsidP="50AEF15C">
      <w:pPr>
        <w:pStyle w:val="NormalWeb"/>
        <w:shd w:val="clear" w:color="auto" w:fill="FFFFFF" w:themeFill="background1"/>
        <w:spacing w:before="0" w:beforeAutospacing="0" w:after="0" w:afterAutospacing="0"/>
        <w:rPr>
          <w:rFonts w:asciiTheme="minorHAnsi" w:eastAsia="Arial" w:hAnsiTheme="minorHAnsi" w:cstheme="minorHAnsi"/>
          <w:color w:val="212529"/>
        </w:rPr>
      </w:pPr>
      <w:r w:rsidRPr="009F2298">
        <w:rPr>
          <w:rFonts w:asciiTheme="minorHAnsi" w:eastAsia="Arial" w:hAnsiTheme="minorHAnsi" w:cstheme="minorHAnsi"/>
          <w:color w:val="212529"/>
        </w:rPr>
        <w:t xml:space="preserve">You can find </w:t>
      </w:r>
      <w:r w:rsidR="00D648D9" w:rsidRPr="009F2298">
        <w:rPr>
          <w:rFonts w:asciiTheme="minorHAnsi" w:eastAsia="Arial" w:hAnsiTheme="minorHAnsi" w:cstheme="minorHAnsi"/>
          <w:color w:val="212529"/>
        </w:rPr>
        <w:t xml:space="preserve">where your local </w:t>
      </w:r>
      <w:proofErr w:type="gramStart"/>
      <w:r w:rsidR="00D648D9" w:rsidRPr="009F2298">
        <w:rPr>
          <w:rFonts w:asciiTheme="minorHAnsi" w:eastAsia="Arial" w:hAnsiTheme="minorHAnsi" w:cstheme="minorHAnsi"/>
          <w:color w:val="212529"/>
        </w:rPr>
        <w:t>pick up</w:t>
      </w:r>
      <w:proofErr w:type="gramEnd"/>
      <w:r w:rsidR="00D648D9" w:rsidRPr="009F2298">
        <w:rPr>
          <w:rFonts w:asciiTheme="minorHAnsi" w:eastAsia="Arial" w:hAnsiTheme="minorHAnsi" w:cstheme="minorHAnsi"/>
          <w:color w:val="212529"/>
        </w:rPr>
        <w:t xml:space="preserve"> point is on the Queensland health website</w:t>
      </w:r>
    </w:p>
    <w:p w14:paraId="63DFA3B5" w14:textId="77777777" w:rsidR="002C4CF6" w:rsidRPr="009F2298" w:rsidRDefault="002C4CF6" w:rsidP="50AEF15C">
      <w:pPr>
        <w:pStyle w:val="NormalWeb"/>
        <w:shd w:val="clear" w:color="auto" w:fill="FFFFFF" w:themeFill="background1"/>
        <w:spacing w:before="0" w:beforeAutospacing="0" w:after="0" w:afterAutospacing="0"/>
        <w:rPr>
          <w:rFonts w:asciiTheme="minorHAnsi" w:eastAsia="Arial" w:hAnsiTheme="minorHAnsi" w:cstheme="minorHAnsi"/>
          <w:color w:val="212529"/>
        </w:rPr>
      </w:pPr>
    </w:p>
    <w:p w14:paraId="4D1E4D25" w14:textId="77777777" w:rsidR="002C4CF6" w:rsidRPr="009F2298" w:rsidRDefault="0050580F" w:rsidP="50AEF15C">
      <w:pPr>
        <w:shd w:val="clear" w:color="auto" w:fill="FFFFFF" w:themeFill="background1"/>
        <w:spacing w:line="240" w:lineRule="auto"/>
        <w:rPr>
          <w:rFonts w:eastAsia="Arial" w:cstheme="minorHAnsi"/>
          <w:color w:val="212529"/>
          <w:szCs w:val="24"/>
          <w:lang w:val="en-AU" w:eastAsia="en-AU"/>
        </w:rPr>
      </w:pPr>
      <w:hyperlink r:id="rId13" w:anchor="where-to-get-rat">
        <w:r w:rsidR="002C4CF6" w:rsidRPr="009F2298">
          <w:rPr>
            <w:rStyle w:val="Hyperlink"/>
            <w:rFonts w:eastAsia="Arial" w:cstheme="minorHAnsi"/>
            <w:color w:val="13578B"/>
            <w:szCs w:val="24"/>
          </w:rPr>
          <w:t>Where and how to get your free RAT kits (if eligible)</w:t>
        </w:r>
      </w:hyperlink>
    </w:p>
    <w:p w14:paraId="1E6F6142" w14:textId="2C4D4CCA" w:rsidR="00D16DF7" w:rsidRPr="009F2298" w:rsidRDefault="00D648D9" w:rsidP="009F2298">
      <w:pPr>
        <w:pStyle w:val="Heading2"/>
      </w:pPr>
      <w:r w:rsidRPr="009F2298">
        <w:lastRenderedPageBreak/>
        <w:t>10-year</w:t>
      </w:r>
      <w:r w:rsidR="00E734D2" w:rsidRPr="009F2298">
        <w:t xml:space="preserve"> Primary Health Care plan released </w:t>
      </w:r>
    </w:p>
    <w:p w14:paraId="72C76242" w14:textId="1A7F7275" w:rsidR="0017561E" w:rsidRPr="009F2298" w:rsidRDefault="00D16DF7" w:rsidP="50AEF15C">
      <w:pPr>
        <w:rPr>
          <w:rFonts w:eastAsia="Arial" w:cstheme="minorHAnsi"/>
          <w:szCs w:val="24"/>
        </w:rPr>
      </w:pPr>
      <w:r w:rsidRPr="009F2298">
        <w:rPr>
          <w:rFonts w:eastAsia="Arial" w:cstheme="minorHAnsi"/>
          <w:szCs w:val="24"/>
        </w:rPr>
        <w:t>The Australian Dept of Health recently released a 10 Year Primary Health Care Pla</w:t>
      </w:r>
      <w:r w:rsidR="00253DFB" w:rsidRPr="009F2298">
        <w:rPr>
          <w:rFonts w:eastAsia="Arial" w:cstheme="minorHAnsi"/>
          <w:szCs w:val="24"/>
        </w:rPr>
        <w:t>n</w:t>
      </w:r>
      <w:r w:rsidR="0015313A" w:rsidRPr="009F2298">
        <w:rPr>
          <w:rFonts w:eastAsia="Arial" w:cstheme="minorHAnsi"/>
          <w:szCs w:val="24"/>
        </w:rPr>
        <w:t xml:space="preserve"> </w:t>
      </w:r>
      <w:r w:rsidR="00FD3C3A" w:rsidRPr="009F2298">
        <w:rPr>
          <w:rFonts w:eastAsia="Arial" w:cstheme="minorHAnsi"/>
          <w:szCs w:val="24"/>
        </w:rPr>
        <w:t xml:space="preserve">which aims to improve </w:t>
      </w:r>
      <w:r w:rsidR="001E7950" w:rsidRPr="009F2298">
        <w:rPr>
          <w:rFonts w:eastAsia="Arial" w:cstheme="minorHAnsi"/>
          <w:szCs w:val="24"/>
        </w:rPr>
        <w:t>people’s</w:t>
      </w:r>
      <w:r w:rsidR="00FD3C3A" w:rsidRPr="009F2298">
        <w:rPr>
          <w:rFonts w:eastAsia="Arial" w:cstheme="minorHAnsi"/>
          <w:szCs w:val="24"/>
        </w:rPr>
        <w:t xml:space="preserve"> experience of care, their health</w:t>
      </w:r>
      <w:r w:rsidR="001E7950" w:rsidRPr="009F2298">
        <w:rPr>
          <w:rFonts w:eastAsia="Arial" w:cstheme="minorHAnsi"/>
          <w:szCs w:val="24"/>
        </w:rPr>
        <w:t xml:space="preserve">, the cost efficiency of the system, and the work life of health care providers. </w:t>
      </w:r>
      <w:r w:rsidR="0059666B" w:rsidRPr="009F2298">
        <w:rPr>
          <w:rFonts w:eastAsia="Arial" w:cstheme="minorHAnsi"/>
          <w:szCs w:val="24"/>
        </w:rPr>
        <w:t>Its intention</w:t>
      </w:r>
      <w:r w:rsidR="0015313A" w:rsidRPr="009F2298">
        <w:rPr>
          <w:rFonts w:eastAsia="Arial" w:cstheme="minorHAnsi"/>
          <w:szCs w:val="24"/>
        </w:rPr>
        <w:t xml:space="preserve"> is </w:t>
      </w:r>
      <w:r w:rsidR="0059666B" w:rsidRPr="009F2298">
        <w:rPr>
          <w:rFonts w:eastAsia="Arial" w:cstheme="minorHAnsi"/>
          <w:szCs w:val="24"/>
        </w:rPr>
        <w:t>to</w:t>
      </w:r>
      <w:r w:rsidR="0015313A" w:rsidRPr="009F2298">
        <w:rPr>
          <w:rFonts w:eastAsia="Arial" w:cstheme="minorHAnsi"/>
          <w:szCs w:val="24"/>
        </w:rPr>
        <w:t xml:space="preserve"> significant</w:t>
      </w:r>
      <w:r w:rsidR="0059666B" w:rsidRPr="009F2298">
        <w:rPr>
          <w:rFonts w:eastAsia="Arial" w:cstheme="minorHAnsi"/>
          <w:szCs w:val="24"/>
        </w:rPr>
        <w:t>ly</w:t>
      </w:r>
      <w:r w:rsidR="0015313A" w:rsidRPr="009F2298">
        <w:rPr>
          <w:rFonts w:eastAsia="Arial" w:cstheme="minorHAnsi"/>
          <w:szCs w:val="24"/>
        </w:rPr>
        <w:t xml:space="preserve"> shift</w:t>
      </w:r>
      <w:r w:rsidR="0059666B" w:rsidRPr="009F2298">
        <w:rPr>
          <w:rFonts w:eastAsia="Arial" w:cstheme="minorHAnsi"/>
          <w:szCs w:val="24"/>
        </w:rPr>
        <w:t xml:space="preserve"> </w:t>
      </w:r>
      <w:r w:rsidR="0015313A" w:rsidRPr="009F2298">
        <w:rPr>
          <w:rFonts w:eastAsia="Arial" w:cstheme="minorHAnsi"/>
          <w:szCs w:val="24"/>
        </w:rPr>
        <w:t>the way primary health care is delivered and how individuals and communities are engaged.</w:t>
      </w:r>
      <w:r w:rsidR="0059666B" w:rsidRPr="009F2298">
        <w:rPr>
          <w:rFonts w:eastAsia="Arial" w:cstheme="minorHAnsi"/>
          <w:szCs w:val="24"/>
        </w:rPr>
        <w:t xml:space="preserve"> </w:t>
      </w:r>
      <w:r w:rsidR="0017561E" w:rsidRPr="009F2298">
        <w:rPr>
          <w:rFonts w:eastAsia="Arial" w:cstheme="minorHAnsi"/>
          <w:szCs w:val="24"/>
        </w:rPr>
        <w:t>The plan also focuses on the integration of primary health care with hospitals and other parts of the health system, aged care, disability care and social care systems.</w:t>
      </w:r>
    </w:p>
    <w:p w14:paraId="0ABE76F9" w14:textId="77777777" w:rsidR="00916061" w:rsidRPr="009F2298" w:rsidRDefault="005C1CE9" w:rsidP="50AEF15C">
      <w:pPr>
        <w:rPr>
          <w:rFonts w:eastAsia="Arial" w:cstheme="minorHAnsi"/>
          <w:szCs w:val="24"/>
        </w:rPr>
      </w:pPr>
      <w:r w:rsidRPr="009F2298">
        <w:rPr>
          <w:rFonts w:eastAsia="Arial" w:cstheme="minorHAnsi"/>
          <w:szCs w:val="24"/>
        </w:rPr>
        <w:t>The plan has a focus on</w:t>
      </w:r>
      <w:r w:rsidR="0052747F" w:rsidRPr="009F2298">
        <w:rPr>
          <w:rFonts w:eastAsia="Arial" w:cstheme="minorHAnsi"/>
          <w:szCs w:val="24"/>
        </w:rPr>
        <w:t xml:space="preserve"> keeping people at the </w:t>
      </w:r>
      <w:proofErr w:type="spellStart"/>
      <w:r w:rsidR="0052747F" w:rsidRPr="009F2298">
        <w:rPr>
          <w:rFonts w:eastAsia="Arial" w:cstheme="minorHAnsi"/>
          <w:szCs w:val="24"/>
        </w:rPr>
        <w:t>centre</w:t>
      </w:r>
      <w:proofErr w:type="spellEnd"/>
      <w:r w:rsidR="00916061" w:rsidRPr="009F2298">
        <w:rPr>
          <w:rFonts w:eastAsia="Arial" w:cstheme="minorHAnsi"/>
          <w:szCs w:val="24"/>
        </w:rPr>
        <w:t xml:space="preserve"> of care</w:t>
      </w:r>
      <w:r w:rsidR="0052747F" w:rsidRPr="009F2298">
        <w:rPr>
          <w:rFonts w:eastAsia="Arial" w:cstheme="minorHAnsi"/>
          <w:szCs w:val="24"/>
        </w:rPr>
        <w:t xml:space="preserve">; </w:t>
      </w:r>
      <w:r w:rsidRPr="009F2298">
        <w:rPr>
          <w:rFonts w:eastAsia="Arial" w:cstheme="minorHAnsi"/>
          <w:szCs w:val="24"/>
        </w:rPr>
        <w:t>access to primary health,</w:t>
      </w:r>
      <w:r w:rsidR="00911631" w:rsidRPr="009F2298">
        <w:rPr>
          <w:rFonts w:eastAsia="Arial" w:cstheme="minorHAnsi"/>
          <w:szCs w:val="24"/>
        </w:rPr>
        <w:t xml:space="preserve"> health and wellbeing, continuity of care across the system, integrating health care, </w:t>
      </w:r>
      <w:r w:rsidR="00520C60" w:rsidRPr="009F2298">
        <w:rPr>
          <w:rFonts w:eastAsia="Arial" w:cstheme="minorHAnsi"/>
          <w:szCs w:val="24"/>
        </w:rPr>
        <w:t xml:space="preserve">utilizing new technologies and focusing on the future, </w:t>
      </w:r>
      <w:proofErr w:type="gramStart"/>
      <w:r w:rsidR="00520C60" w:rsidRPr="009F2298">
        <w:rPr>
          <w:rFonts w:eastAsia="Arial" w:cstheme="minorHAnsi"/>
          <w:szCs w:val="24"/>
        </w:rPr>
        <w:t>safety</w:t>
      </w:r>
      <w:proofErr w:type="gramEnd"/>
      <w:r w:rsidR="00520C60" w:rsidRPr="009F2298">
        <w:rPr>
          <w:rFonts w:eastAsia="Arial" w:cstheme="minorHAnsi"/>
          <w:szCs w:val="24"/>
        </w:rPr>
        <w:t xml:space="preserve"> and quality, and ensuring </w:t>
      </w:r>
      <w:r w:rsidR="0052747F" w:rsidRPr="009F2298">
        <w:rPr>
          <w:rFonts w:eastAsia="Arial" w:cstheme="minorHAnsi"/>
          <w:szCs w:val="24"/>
        </w:rPr>
        <w:t xml:space="preserve">equal health outcomes for Aboriginal and Torres Strait Islander people. </w:t>
      </w:r>
    </w:p>
    <w:p w14:paraId="4381E9B6" w14:textId="60C1ED6E" w:rsidR="00B76B02" w:rsidRPr="009F2298" w:rsidRDefault="00B76B02" w:rsidP="50AEF15C">
      <w:pPr>
        <w:rPr>
          <w:rFonts w:eastAsia="Arial" w:cstheme="minorHAnsi"/>
          <w:szCs w:val="24"/>
        </w:rPr>
      </w:pPr>
      <w:r w:rsidRPr="009F2298">
        <w:rPr>
          <w:rFonts w:eastAsia="Arial" w:cstheme="minorHAnsi"/>
          <w:szCs w:val="24"/>
        </w:rPr>
        <w:t>You can find out more at the link below:</w:t>
      </w:r>
    </w:p>
    <w:p w14:paraId="5EC1DDDF" w14:textId="77777777" w:rsidR="00B76B02" w:rsidRDefault="0050580F" w:rsidP="4A9A0F83">
      <w:pPr>
        <w:rPr>
          <w:rStyle w:val="Hyperlink"/>
          <w:rFonts w:eastAsia="Arial" w:cstheme="minorHAnsi"/>
        </w:rPr>
      </w:pPr>
      <w:hyperlink r:id="rId14">
        <w:r w:rsidR="00B76B02" w:rsidRPr="009F2298">
          <w:rPr>
            <w:rStyle w:val="Hyperlink"/>
            <w:rFonts w:eastAsia="Arial" w:cstheme="minorHAnsi"/>
          </w:rPr>
          <w:t>australia-s-primary-health-care-10-year-plan-2022-2032-future-focused-primary-health-care-australia-s-primary-health-care-10-year-plan-2022-2032.pdf</w:t>
        </w:r>
      </w:hyperlink>
    </w:p>
    <w:p w14:paraId="5E68FA5F" w14:textId="77777777" w:rsidR="009F2298" w:rsidRPr="009F2298" w:rsidRDefault="009F2298" w:rsidP="4A9A0F83">
      <w:pPr>
        <w:rPr>
          <w:rFonts w:eastAsia="Arial" w:cstheme="minorHAnsi"/>
        </w:rPr>
      </w:pPr>
    </w:p>
    <w:p w14:paraId="1ED14642" w14:textId="4DFA9AF4" w:rsidR="001149C0" w:rsidRPr="009F2298" w:rsidRDefault="00F727C0" w:rsidP="009F2298">
      <w:pPr>
        <w:pStyle w:val="Heading2"/>
      </w:pPr>
      <w:r w:rsidRPr="009F2298">
        <w:t>Easy read resource on COVID-19 oral medicines</w:t>
      </w:r>
    </w:p>
    <w:p w14:paraId="7A89F1C1" w14:textId="76038E17" w:rsidR="001149C0" w:rsidRDefault="00F727C0" w:rsidP="4A9A0F83">
      <w:pPr>
        <w:rPr>
          <w:rFonts w:eastAsia="Arial" w:cstheme="minorHAnsi"/>
          <w:szCs w:val="24"/>
        </w:rPr>
      </w:pPr>
      <w:r w:rsidRPr="009F2298">
        <w:rPr>
          <w:rFonts w:eastAsia="Arial" w:cstheme="minorHAnsi"/>
          <w:szCs w:val="24"/>
        </w:rPr>
        <w:t>T</w:t>
      </w:r>
      <w:r w:rsidR="001149C0" w:rsidRPr="009F2298">
        <w:rPr>
          <w:rFonts w:eastAsia="Arial" w:cstheme="minorHAnsi"/>
          <w:szCs w:val="24"/>
        </w:rPr>
        <w:t xml:space="preserve">he Department of Health and Aged Care has produced an Easy Read on COVID-19 oral medicines. </w:t>
      </w:r>
      <w:r w:rsidR="00C46EE2" w:rsidRPr="009F2298">
        <w:rPr>
          <w:rFonts w:eastAsia="Arial" w:cstheme="minorHAnsi"/>
          <w:szCs w:val="24"/>
        </w:rPr>
        <w:t>The resource is focused on anti-viral medicine for people who test positive for COVID-19</w:t>
      </w:r>
      <w:r w:rsidR="00734420" w:rsidRPr="009F2298">
        <w:rPr>
          <w:rFonts w:eastAsia="Arial" w:cstheme="minorHAnsi"/>
          <w:szCs w:val="24"/>
        </w:rPr>
        <w:t>, how to access the medicine</w:t>
      </w:r>
      <w:r w:rsidR="004446B3" w:rsidRPr="009F2298">
        <w:rPr>
          <w:rFonts w:eastAsia="Arial" w:cstheme="minorHAnsi"/>
          <w:szCs w:val="24"/>
        </w:rPr>
        <w:t>, how to take it, and broader information on vaccinations</w:t>
      </w:r>
      <w:r w:rsidR="005928D7" w:rsidRPr="009F2298">
        <w:rPr>
          <w:rFonts w:eastAsia="Arial" w:cstheme="minorHAnsi"/>
          <w:szCs w:val="24"/>
        </w:rPr>
        <w:t xml:space="preserve">. The easy read resource will be published on the Department’s website alongside </w:t>
      </w:r>
      <w:hyperlink r:id="rId15">
        <w:r w:rsidR="001149C0" w:rsidRPr="009F2298">
          <w:rPr>
            <w:rStyle w:val="Hyperlink"/>
            <w:rFonts w:eastAsia="Arial" w:cstheme="minorHAnsi"/>
            <w:szCs w:val="24"/>
          </w:rPr>
          <w:t>other COVID-19 Easy Read resources</w:t>
        </w:r>
      </w:hyperlink>
      <w:r w:rsidR="001149C0" w:rsidRPr="009F2298">
        <w:rPr>
          <w:rFonts w:eastAsia="Arial" w:cstheme="minorHAnsi"/>
          <w:szCs w:val="24"/>
        </w:rPr>
        <w:t xml:space="preserve"> shortly.</w:t>
      </w:r>
    </w:p>
    <w:p w14:paraId="6E4640C0" w14:textId="77777777" w:rsidR="009F2298" w:rsidRPr="009F2298" w:rsidRDefault="009F2298" w:rsidP="4A9A0F83">
      <w:pPr>
        <w:rPr>
          <w:rFonts w:eastAsia="Arial" w:cstheme="minorHAnsi"/>
          <w:szCs w:val="24"/>
        </w:rPr>
      </w:pPr>
    </w:p>
    <w:p w14:paraId="3DA9B52B" w14:textId="66B0A2D3" w:rsidR="00C06226" w:rsidRPr="00C06226" w:rsidRDefault="003223B9" w:rsidP="009F2298">
      <w:pPr>
        <w:pStyle w:val="Heading2"/>
        <w:rPr>
          <w:rStyle w:val="Heading2Char"/>
          <w:rFonts w:ascii="Arial" w:eastAsia="Arial" w:hAnsi="Arial" w:cs="Arial"/>
        </w:rPr>
      </w:pPr>
      <w:r w:rsidRPr="4A9A0F83">
        <w:rPr>
          <w:rStyle w:val="Heading2Char"/>
          <w:rFonts w:ascii="Arial" w:eastAsia="Arial" w:hAnsi="Arial" w:cs="Arial"/>
        </w:rPr>
        <w:t xml:space="preserve">Go for Gold: </w:t>
      </w:r>
      <w:r w:rsidR="00C06226" w:rsidRPr="4A9A0F83">
        <w:rPr>
          <w:rStyle w:val="Heading2Char"/>
          <w:rFonts w:ascii="Arial" w:eastAsia="Arial" w:hAnsi="Arial" w:cs="Arial"/>
        </w:rPr>
        <w:t>a social inclusion legacy for the 2032</w:t>
      </w:r>
      <w:r w:rsidR="006D5AC7" w:rsidRPr="4A9A0F83">
        <w:rPr>
          <w:rStyle w:val="Heading2Char"/>
          <w:rFonts w:ascii="Arial" w:eastAsia="Arial" w:hAnsi="Arial" w:cs="Arial"/>
        </w:rPr>
        <w:t xml:space="preserve"> Olympic and Paralympic Games</w:t>
      </w:r>
    </w:p>
    <w:p w14:paraId="2A857640" w14:textId="21542F07" w:rsidR="000375D8" w:rsidRDefault="003223B9" w:rsidP="009F2298">
      <w:pPr>
        <w:rPr>
          <w:rFonts w:cstheme="minorHAnsi"/>
        </w:rPr>
      </w:pPr>
      <w:r w:rsidRPr="009F2298">
        <w:rPr>
          <w:rFonts w:cstheme="minorHAnsi"/>
        </w:rPr>
        <w:t xml:space="preserve">Q Shelter has launched </w:t>
      </w:r>
      <w:r w:rsidR="000375D8" w:rsidRPr="009F2298">
        <w:rPr>
          <w:rFonts w:cstheme="minorHAnsi"/>
        </w:rPr>
        <w:t xml:space="preserve">a report on </w:t>
      </w:r>
      <w:r w:rsidR="005C5731" w:rsidRPr="009F2298">
        <w:rPr>
          <w:rFonts w:cstheme="minorHAnsi"/>
        </w:rPr>
        <w:t xml:space="preserve">the </w:t>
      </w:r>
      <w:r w:rsidRPr="009F2298">
        <w:rPr>
          <w:rFonts w:cstheme="minorHAnsi"/>
        </w:rPr>
        <w:t>legacy from the Brisbane 2032 Games.</w:t>
      </w:r>
      <w:r w:rsidR="005C5731" w:rsidRPr="009F2298">
        <w:rPr>
          <w:rFonts w:cstheme="minorHAnsi"/>
        </w:rPr>
        <w:t xml:space="preserve"> The report looks at what can be done</w:t>
      </w:r>
      <w:r w:rsidR="00313995" w:rsidRPr="009F2298">
        <w:rPr>
          <w:rFonts w:cstheme="minorHAnsi"/>
        </w:rPr>
        <w:t xml:space="preserve"> to prevent significant negative impacts in the lead up to the games caused by factors such as regional infrastructure and workforce increases. </w:t>
      </w:r>
      <w:r w:rsidR="00BE3980" w:rsidRPr="009F2298">
        <w:rPr>
          <w:rFonts w:cstheme="minorHAnsi"/>
        </w:rPr>
        <w:t xml:space="preserve">The report outlines a suite of recommendations across housing, </w:t>
      </w:r>
      <w:proofErr w:type="gramStart"/>
      <w:r w:rsidR="00BE3980" w:rsidRPr="009F2298">
        <w:rPr>
          <w:rFonts w:cstheme="minorHAnsi"/>
        </w:rPr>
        <w:t>homelessness</w:t>
      </w:r>
      <w:proofErr w:type="gramEnd"/>
      <w:r w:rsidR="00BE3980" w:rsidRPr="009F2298">
        <w:rPr>
          <w:rFonts w:cstheme="minorHAnsi"/>
        </w:rPr>
        <w:t xml:space="preserve"> and economic inclusion. </w:t>
      </w:r>
      <w:r w:rsidRPr="009F2298">
        <w:rPr>
          <w:rFonts w:cstheme="minorHAnsi"/>
        </w:rPr>
        <w:br/>
      </w:r>
      <w:r w:rsidR="000375D8" w:rsidRPr="009F2298">
        <w:rPr>
          <w:rFonts w:cstheme="minorHAnsi"/>
        </w:rPr>
        <w:t xml:space="preserve">You can access </w:t>
      </w:r>
      <w:hyperlink r:id="rId16">
        <w:r w:rsidR="000375D8" w:rsidRPr="009F2298">
          <w:rPr>
            <w:rStyle w:val="Hyperlink"/>
            <w:rFonts w:eastAsia="Arial" w:cstheme="minorHAnsi"/>
          </w:rPr>
          <w:t>the full report here</w:t>
        </w:r>
      </w:hyperlink>
      <w:r w:rsidR="000375D8" w:rsidRPr="009F2298">
        <w:rPr>
          <w:rFonts w:cstheme="minorHAnsi"/>
        </w:rPr>
        <w:t xml:space="preserve"> </w:t>
      </w:r>
    </w:p>
    <w:p w14:paraId="2AB240FF" w14:textId="77777777" w:rsidR="009F2298" w:rsidRPr="009F2298" w:rsidRDefault="009F2298" w:rsidP="009F2298">
      <w:pPr>
        <w:rPr>
          <w:rFonts w:cstheme="minorHAnsi"/>
          <w:color w:val="2F5496" w:themeColor="accent1" w:themeShade="BF"/>
          <w:sz w:val="26"/>
          <w:szCs w:val="26"/>
        </w:rPr>
      </w:pPr>
    </w:p>
    <w:p w14:paraId="47AEDC9A" w14:textId="06FBEC7F" w:rsidR="00DC2FE3" w:rsidRPr="009F2298" w:rsidRDefault="00F761FF" w:rsidP="009F2298">
      <w:pPr>
        <w:pStyle w:val="Heading2"/>
      </w:pPr>
      <w:r w:rsidRPr="009F2298">
        <w:t xml:space="preserve">Homes for All – A </w:t>
      </w:r>
      <w:r w:rsidR="00DC2FE3" w:rsidRPr="009F2298">
        <w:t xml:space="preserve">Roadmap to Affordable Housing </w:t>
      </w:r>
    </w:p>
    <w:p w14:paraId="7780A84B" w14:textId="741CE747" w:rsidR="00DC2FE3" w:rsidRPr="009F2298" w:rsidRDefault="00DC2FE3" w:rsidP="009F2298">
      <w:pPr>
        <w:rPr>
          <w:rFonts w:cstheme="minorHAnsi"/>
        </w:rPr>
      </w:pPr>
      <w:r w:rsidRPr="009F2298">
        <w:rPr>
          <w:rFonts w:cstheme="minorHAnsi"/>
        </w:rPr>
        <w:t xml:space="preserve">Anglicare Australia </w:t>
      </w:r>
      <w:r w:rsidR="004145FB" w:rsidRPr="009F2298">
        <w:rPr>
          <w:rFonts w:cstheme="minorHAnsi"/>
        </w:rPr>
        <w:t xml:space="preserve">has </w:t>
      </w:r>
      <w:r w:rsidR="001B123A" w:rsidRPr="009F2298">
        <w:rPr>
          <w:rFonts w:cstheme="minorHAnsi"/>
        </w:rPr>
        <w:t>released</w:t>
      </w:r>
      <w:r w:rsidR="004145FB" w:rsidRPr="009F2298">
        <w:rPr>
          <w:rFonts w:cstheme="minorHAnsi"/>
        </w:rPr>
        <w:t xml:space="preserve"> a Roadmap report on affordable housing that outlines a range of solutions to the current housing crisis across the country. </w:t>
      </w:r>
    </w:p>
    <w:p w14:paraId="1F0114CE" w14:textId="18306978" w:rsidR="00F761FF" w:rsidRPr="009F2298" w:rsidRDefault="00F761FF" w:rsidP="009F2298">
      <w:pPr>
        <w:rPr>
          <w:rFonts w:cstheme="minorHAnsi"/>
        </w:rPr>
      </w:pPr>
      <w:r w:rsidRPr="009F2298">
        <w:rPr>
          <w:rFonts w:cstheme="minorHAnsi"/>
        </w:rPr>
        <w:t>Homes for All offers proposals to make renting more secure and more affordable</w:t>
      </w:r>
      <w:r w:rsidR="006F3395" w:rsidRPr="009F2298">
        <w:rPr>
          <w:rFonts w:cstheme="minorHAnsi"/>
        </w:rPr>
        <w:t xml:space="preserve"> and calls for </w:t>
      </w:r>
    </w:p>
    <w:p w14:paraId="4ADE2863" w14:textId="024B5578" w:rsidR="007A11FB" w:rsidRPr="009F2298" w:rsidRDefault="00F761FF" w:rsidP="009F2298">
      <w:pPr>
        <w:rPr>
          <w:rFonts w:cstheme="minorHAnsi"/>
        </w:rPr>
      </w:pPr>
      <w:r w:rsidRPr="009F2298">
        <w:rPr>
          <w:rFonts w:cstheme="minorHAnsi"/>
        </w:rPr>
        <w:lastRenderedPageBreak/>
        <w:t>major reform of tax and policy settings</w:t>
      </w:r>
      <w:r w:rsidR="006F3395" w:rsidRPr="009F2298">
        <w:rPr>
          <w:rFonts w:cstheme="minorHAnsi"/>
        </w:rPr>
        <w:t xml:space="preserve">, </w:t>
      </w:r>
      <w:r w:rsidR="00FB6EBA" w:rsidRPr="009F2298">
        <w:rPr>
          <w:rFonts w:cstheme="minorHAnsi"/>
        </w:rPr>
        <w:t xml:space="preserve">and outlines strategies to end the undersupply of affordable housing. </w:t>
      </w:r>
      <w:r w:rsidR="007A11FB" w:rsidRPr="009F2298">
        <w:rPr>
          <w:rFonts w:cstheme="minorHAnsi"/>
        </w:rPr>
        <w:t xml:space="preserve">You can access the </w:t>
      </w:r>
      <w:hyperlink r:id="rId17">
        <w:r w:rsidR="007A11FB" w:rsidRPr="009F2298">
          <w:rPr>
            <w:rStyle w:val="Hyperlink"/>
            <w:rFonts w:eastAsia="Arial" w:cstheme="minorHAnsi"/>
          </w:rPr>
          <w:t>full report here</w:t>
        </w:r>
      </w:hyperlink>
    </w:p>
    <w:p w14:paraId="237F859F" w14:textId="77777777" w:rsidR="00DC2FE3" w:rsidRPr="009F2298" w:rsidRDefault="00DC2FE3" w:rsidP="009F2298">
      <w:pPr>
        <w:rPr>
          <w:rFonts w:cstheme="minorHAnsi"/>
          <w:vanish/>
          <w:color w:val="000000"/>
        </w:rPr>
      </w:pPr>
    </w:p>
    <w:p w14:paraId="01843084" w14:textId="77777777" w:rsidR="00DC2FE3" w:rsidRPr="009F2298" w:rsidRDefault="00DC2FE3" w:rsidP="009F2298">
      <w:pPr>
        <w:rPr>
          <w:rFonts w:cstheme="minorHAnsi"/>
        </w:rPr>
      </w:pPr>
    </w:p>
    <w:sectPr w:rsidR="00DC2FE3" w:rsidRPr="009F229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E171" w14:textId="77777777" w:rsidR="00EE50DB" w:rsidRDefault="00EE50DB" w:rsidP="00916061">
      <w:pPr>
        <w:spacing w:after="0" w:line="240" w:lineRule="auto"/>
      </w:pPr>
      <w:r>
        <w:separator/>
      </w:r>
    </w:p>
  </w:endnote>
  <w:endnote w:type="continuationSeparator" w:id="0">
    <w:p w14:paraId="0330E19F" w14:textId="77777777" w:rsidR="00EE50DB" w:rsidRDefault="00EE50DB" w:rsidP="00916061">
      <w:pPr>
        <w:spacing w:after="0" w:line="240" w:lineRule="auto"/>
      </w:pPr>
      <w:r>
        <w:continuationSeparator/>
      </w:r>
    </w:p>
  </w:endnote>
  <w:endnote w:type="continuationNotice" w:id="1">
    <w:p w14:paraId="7F3A2444" w14:textId="77777777" w:rsidR="00BA095A" w:rsidRDefault="00BA0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53395"/>
      <w:docPartObj>
        <w:docPartGallery w:val="Page Numbers (Bottom of Page)"/>
        <w:docPartUnique/>
      </w:docPartObj>
    </w:sdtPr>
    <w:sdtEndPr>
      <w:rPr>
        <w:noProof/>
      </w:rPr>
    </w:sdtEndPr>
    <w:sdtContent>
      <w:p w14:paraId="4E12E564" w14:textId="2F1A6278" w:rsidR="00916061" w:rsidRDefault="009160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96871E" w14:textId="77777777" w:rsidR="00916061" w:rsidRDefault="00916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C41A3" w14:textId="77777777" w:rsidR="00EE50DB" w:rsidRDefault="00EE50DB" w:rsidP="00916061">
      <w:pPr>
        <w:spacing w:after="0" w:line="240" w:lineRule="auto"/>
      </w:pPr>
      <w:r>
        <w:separator/>
      </w:r>
    </w:p>
  </w:footnote>
  <w:footnote w:type="continuationSeparator" w:id="0">
    <w:p w14:paraId="001D7C61" w14:textId="77777777" w:rsidR="00EE50DB" w:rsidRDefault="00EE50DB" w:rsidP="00916061">
      <w:pPr>
        <w:spacing w:after="0" w:line="240" w:lineRule="auto"/>
      </w:pPr>
      <w:r>
        <w:continuationSeparator/>
      </w:r>
    </w:p>
  </w:footnote>
  <w:footnote w:type="continuationNotice" w:id="1">
    <w:p w14:paraId="014A4231" w14:textId="77777777" w:rsidR="00BA095A" w:rsidRDefault="00BA09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22A0"/>
    <w:multiLevelType w:val="multilevel"/>
    <w:tmpl w:val="03A8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A705A"/>
    <w:multiLevelType w:val="multilevel"/>
    <w:tmpl w:val="EC92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909E4"/>
    <w:multiLevelType w:val="multilevel"/>
    <w:tmpl w:val="28E0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D626C7"/>
    <w:multiLevelType w:val="multilevel"/>
    <w:tmpl w:val="D9D2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3380C"/>
    <w:multiLevelType w:val="hybridMultilevel"/>
    <w:tmpl w:val="BFE06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E14873"/>
    <w:multiLevelType w:val="multilevel"/>
    <w:tmpl w:val="3C2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50E28"/>
    <w:multiLevelType w:val="multilevel"/>
    <w:tmpl w:val="6F7E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63537">
    <w:abstractNumId w:val="3"/>
  </w:num>
  <w:num w:numId="2" w16cid:durableId="1171529098">
    <w:abstractNumId w:val="0"/>
  </w:num>
  <w:num w:numId="3" w16cid:durableId="178660824">
    <w:abstractNumId w:val="2"/>
  </w:num>
  <w:num w:numId="4" w16cid:durableId="684286118">
    <w:abstractNumId w:val="6"/>
  </w:num>
  <w:num w:numId="5" w16cid:durableId="1823421448">
    <w:abstractNumId w:val="1"/>
  </w:num>
  <w:num w:numId="6" w16cid:durableId="1528986638">
    <w:abstractNumId w:val="5"/>
  </w:num>
  <w:num w:numId="7" w16cid:durableId="489711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E875A7"/>
    <w:rsid w:val="000375D8"/>
    <w:rsid w:val="00051CBB"/>
    <w:rsid w:val="0009198A"/>
    <w:rsid w:val="000974F4"/>
    <w:rsid w:val="001149C0"/>
    <w:rsid w:val="0015313A"/>
    <w:rsid w:val="0017561E"/>
    <w:rsid w:val="001B123A"/>
    <w:rsid w:val="001E7950"/>
    <w:rsid w:val="00245DE4"/>
    <w:rsid w:val="00253DFB"/>
    <w:rsid w:val="00263E95"/>
    <w:rsid w:val="002C4CF6"/>
    <w:rsid w:val="00313995"/>
    <w:rsid w:val="003223B9"/>
    <w:rsid w:val="003F5F29"/>
    <w:rsid w:val="004145FB"/>
    <w:rsid w:val="00432C49"/>
    <w:rsid w:val="004446B3"/>
    <w:rsid w:val="00520C60"/>
    <w:rsid w:val="0052747F"/>
    <w:rsid w:val="005873DC"/>
    <w:rsid w:val="005928D7"/>
    <w:rsid w:val="0059666B"/>
    <w:rsid w:val="005C1CE9"/>
    <w:rsid w:val="005C5731"/>
    <w:rsid w:val="005C6366"/>
    <w:rsid w:val="005F42F8"/>
    <w:rsid w:val="00647B2A"/>
    <w:rsid w:val="00663B01"/>
    <w:rsid w:val="006D5AC7"/>
    <w:rsid w:val="006F3395"/>
    <w:rsid w:val="00731423"/>
    <w:rsid w:val="00734420"/>
    <w:rsid w:val="00753613"/>
    <w:rsid w:val="007603C6"/>
    <w:rsid w:val="007A11FB"/>
    <w:rsid w:val="007B39E3"/>
    <w:rsid w:val="00911631"/>
    <w:rsid w:val="00916061"/>
    <w:rsid w:val="009438AD"/>
    <w:rsid w:val="00952C7A"/>
    <w:rsid w:val="009A6CCE"/>
    <w:rsid w:val="009F2298"/>
    <w:rsid w:val="00B76B02"/>
    <w:rsid w:val="00BA095A"/>
    <w:rsid w:val="00BE3980"/>
    <w:rsid w:val="00C06226"/>
    <w:rsid w:val="00C46EE2"/>
    <w:rsid w:val="00C87C80"/>
    <w:rsid w:val="00CB3BB6"/>
    <w:rsid w:val="00CE64E1"/>
    <w:rsid w:val="00D035B9"/>
    <w:rsid w:val="00D16DF7"/>
    <w:rsid w:val="00D5063A"/>
    <w:rsid w:val="00D648D9"/>
    <w:rsid w:val="00DC2FE3"/>
    <w:rsid w:val="00E627CB"/>
    <w:rsid w:val="00E71662"/>
    <w:rsid w:val="00E734D2"/>
    <w:rsid w:val="00EE4941"/>
    <w:rsid w:val="00EE50DB"/>
    <w:rsid w:val="00F52593"/>
    <w:rsid w:val="00F727C0"/>
    <w:rsid w:val="00F761FF"/>
    <w:rsid w:val="00FB648E"/>
    <w:rsid w:val="00FB6EBA"/>
    <w:rsid w:val="00FD3C3A"/>
    <w:rsid w:val="11E875A7"/>
    <w:rsid w:val="3DF8B32C"/>
    <w:rsid w:val="41E9B8D9"/>
    <w:rsid w:val="4A9A0F83"/>
    <w:rsid w:val="50A8018D"/>
    <w:rsid w:val="50AEF1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C85F"/>
  <w15:chartTrackingRefBased/>
  <w15:docId w15:val="{134AAE83-0651-4ED7-8768-CF867F06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298"/>
    <w:rPr>
      <w:sz w:val="24"/>
    </w:rPr>
  </w:style>
  <w:style w:type="paragraph" w:styleId="Heading1">
    <w:name w:val="heading 1"/>
    <w:basedOn w:val="Normal"/>
    <w:next w:val="Normal"/>
    <w:link w:val="Heading1Char"/>
    <w:uiPriority w:val="9"/>
    <w:qFormat/>
    <w:rsid w:val="000974F4"/>
    <w:pPr>
      <w:keepNext/>
      <w:keepLines/>
      <w:spacing w:before="240" w:after="0"/>
      <w:outlineLvl w:val="0"/>
    </w:pPr>
    <w:rPr>
      <w:rFonts w:asciiTheme="majorHAnsi" w:eastAsiaTheme="majorEastAsia" w:hAnsiTheme="majorHAnsi"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FB648E"/>
    <w:pPr>
      <w:keepNext/>
      <w:keepLines/>
      <w:spacing w:before="40" w:after="0"/>
      <w:outlineLvl w:val="1"/>
    </w:pPr>
    <w:rPr>
      <w:rFonts w:asciiTheme="majorHAnsi" w:eastAsiaTheme="majorEastAsia" w:hAnsiTheme="majorHAnsi" w:cstheme="majorBidi"/>
      <w:b/>
      <w:color w:val="2F5496" w:themeColor="accent1" w:themeShade="BF"/>
      <w:sz w:val="32"/>
      <w:szCs w:val="26"/>
    </w:rPr>
  </w:style>
  <w:style w:type="paragraph" w:styleId="Heading3">
    <w:name w:val="heading 3"/>
    <w:basedOn w:val="Normal"/>
    <w:next w:val="Normal"/>
    <w:link w:val="Heading3Char"/>
    <w:uiPriority w:val="9"/>
    <w:semiHidden/>
    <w:unhideWhenUsed/>
    <w:qFormat/>
    <w:rsid w:val="005F42F8"/>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0974F4"/>
    <w:rPr>
      <w:rFonts w:asciiTheme="majorHAnsi" w:eastAsiaTheme="majorEastAsia" w:hAnsiTheme="majorHAnsi" w:cstheme="majorBidi"/>
      <w:b/>
      <w:color w:val="2F5496" w:themeColor="accent1" w:themeShade="BF"/>
      <w:sz w:val="36"/>
      <w:szCs w:val="32"/>
    </w:rPr>
  </w:style>
  <w:style w:type="character" w:customStyle="1" w:styleId="Heading2Char">
    <w:name w:val="Heading 2 Char"/>
    <w:basedOn w:val="DefaultParagraphFont"/>
    <w:link w:val="Heading2"/>
    <w:uiPriority w:val="9"/>
    <w:rsid w:val="00FB648E"/>
    <w:rPr>
      <w:rFonts w:asciiTheme="majorHAnsi" w:eastAsiaTheme="majorEastAsia" w:hAnsiTheme="majorHAnsi" w:cstheme="majorBidi"/>
      <w:b/>
      <w:color w:val="2F5496" w:themeColor="accent1" w:themeShade="BF"/>
      <w:sz w:val="32"/>
      <w:szCs w:val="26"/>
    </w:rPr>
  </w:style>
  <w:style w:type="character" w:customStyle="1" w:styleId="Heading3Char">
    <w:name w:val="Heading 3 Char"/>
    <w:basedOn w:val="DefaultParagraphFont"/>
    <w:link w:val="Heading3"/>
    <w:uiPriority w:val="9"/>
    <w:semiHidden/>
    <w:rsid w:val="005F42F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F42F8"/>
    <w:pPr>
      <w:spacing w:before="100" w:beforeAutospacing="1" w:after="100" w:afterAutospacing="1" w:line="240" w:lineRule="auto"/>
    </w:pPr>
    <w:rPr>
      <w:rFonts w:ascii="Times New Roman" w:eastAsia="Times New Roman" w:hAnsi="Times New Roman" w:cs="Times New Roman"/>
      <w:szCs w:val="24"/>
      <w:lang w:val="en-AU" w:eastAsia="en-AU"/>
    </w:rPr>
  </w:style>
  <w:style w:type="character" w:styleId="FollowedHyperlink">
    <w:name w:val="FollowedHyperlink"/>
    <w:basedOn w:val="DefaultParagraphFont"/>
    <w:uiPriority w:val="99"/>
    <w:semiHidden/>
    <w:unhideWhenUsed/>
    <w:rsid w:val="00E734D2"/>
    <w:rPr>
      <w:color w:val="954F72" w:themeColor="followedHyperlink"/>
      <w:u w:val="single"/>
    </w:rPr>
  </w:style>
  <w:style w:type="paragraph" w:styleId="ListParagraph">
    <w:name w:val="List Paragraph"/>
    <w:basedOn w:val="Normal"/>
    <w:uiPriority w:val="34"/>
    <w:qFormat/>
    <w:rsid w:val="00E627CB"/>
    <w:pPr>
      <w:ind w:left="720"/>
      <w:contextualSpacing/>
    </w:pPr>
  </w:style>
  <w:style w:type="paragraph" w:styleId="Header">
    <w:name w:val="header"/>
    <w:basedOn w:val="Normal"/>
    <w:link w:val="HeaderChar"/>
    <w:uiPriority w:val="99"/>
    <w:unhideWhenUsed/>
    <w:rsid w:val="009160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061"/>
  </w:style>
  <w:style w:type="paragraph" w:styleId="Footer">
    <w:name w:val="footer"/>
    <w:basedOn w:val="Normal"/>
    <w:link w:val="FooterChar"/>
    <w:uiPriority w:val="99"/>
    <w:unhideWhenUsed/>
    <w:rsid w:val="00916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061"/>
  </w:style>
  <w:style w:type="character" w:styleId="Strong">
    <w:name w:val="Strong"/>
    <w:basedOn w:val="DefaultParagraphFont"/>
    <w:uiPriority w:val="22"/>
    <w:qFormat/>
    <w:rsid w:val="003223B9"/>
    <w:rPr>
      <w:b/>
      <w:bCs/>
    </w:rPr>
  </w:style>
  <w:style w:type="character" w:styleId="UnresolvedMention">
    <w:name w:val="Unresolved Mention"/>
    <w:basedOn w:val="DefaultParagraphFont"/>
    <w:uiPriority w:val="99"/>
    <w:semiHidden/>
    <w:unhideWhenUsed/>
    <w:rsid w:val="007A1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5940">
      <w:bodyDiv w:val="1"/>
      <w:marLeft w:val="0"/>
      <w:marRight w:val="0"/>
      <w:marTop w:val="0"/>
      <w:marBottom w:val="0"/>
      <w:divBdr>
        <w:top w:val="none" w:sz="0" w:space="0" w:color="auto"/>
        <w:left w:val="none" w:sz="0" w:space="0" w:color="auto"/>
        <w:bottom w:val="none" w:sz="0" w:space="0" w:color="auto"/>
        <w:right w:val="none" w:sz="0" w:space="0" w:color="auto"/>
      </w:divBdr>
    </w:div>
    <w:div w:id="637227705">
      <w:bodyDiv w:val="1"/>
      <w:marLeft w:val="0"/>
      <w:marRight w:val="0"/>
      <w:marTop w:val="0"/>
      <w:marBottom w:val="0"/>
      <w:divBdr>
        <w:top w:val="none" w:sz="0" w:space="0" w:color="auto"/>
        <w:left w:val="none" w:sz="0" w:space="0" w:color="auto"/>
        <w:bottom w:val="none" w:sz="0" w:space="0" w:color="auto"/>
        <w:right w:val="none" w:sz="0" w:space="0" w:color="auto"/>
      </w:divBdr>
    </w:div>
    <w:div w:id="785126965">
      <w:bodyDiv w:val="1"/>
      <w:marLeft w:val="0"/>
      <w:marRight w:val="0"/>
      <w:marTop w:val="0"/>
      <w:marBottom w:val="0"/>
      <w:divBdr>
        <w:top w:val="none" w:sz="0" w:space="0" w:color="auto"/>
        <w:left w:val="none" w:sz="0" w:space="0" w:color="auto"/>
        <w:bottom w:val="none" w:sz="0" w:space="0" w:color="auto"/>
        <w:right w:val="none" w:sz="0" w:space="0" w:color="auto"/>
      </w:divBdr>
    </w:div>
    <w:div w:id="965738917">
      <w:bodyDiv w:val="1"/>
      <w:marLeft w:val="0"/>
      <w:marRight w:val="0"/>
      <w:marTop w:val="0"/>
      <w:marBottom w:val="0"/>
      <w:divBdr>
        <w:top w:val="none" w:sz="0" w:space="0" w:color="auto"/>
        <w:left w:val="none" w:sz="0" w:space="0" w:color="auto"/>
        <w:bottom w:val="none" w:sz="0" w:space="0" w:color="auto"/>
        <w:right w:val="none" w:sz="0" w:space="0" w:color="auto"/>
      </w:divBdr>
    </w:div>
    <w:div w:id="1158694271">
      <w:bodyDiv w:val="1"/>
      <w:marLeft w:val="0"/>
      <w:marRight w:val="0"/>
      <w:marTop w:val="0"/>
      <w:marBottom w:val="0"/>
      <w:divBdr>
        <w:top w:val="none" w:sz="0" w:space="0" w:color="auto"/>
        <w:left w:val="none" w:sz="0" w:space="0" w:color="auto"/>
        <w:bottom w:val="none" w:sz="0" w:space="0" w:color="auto"/>
        <w:right w:val="none" w:sz="0" w:space="0" w:color="auto"/>
      </w:divBdr>
    </w:div>
    <w:div w:id="191543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ld.gov.au/health/conditions/health-alerts/coronavirus-covid-19/exposed-to-covid/covid-testing-in-queensland/free-rat-concession-card-ql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ta.qld.gov.au/rental-law-changes" TargetMode="External"/><Relationship Id="rId17" Type="http://schemas.openxmlformats.org/officeDocument/2006/relationships/hyperlink" Target="https://www.anglicare.asn.au/wp-content/uploads/2022/07/Homes-for-All.pdf" TargetMode="External"/><Relationship Id="rId2" Type="http://schemas.openxmlformats.org/officeDocument/2006/relationships/customXml" Target="../customXml/item2.xml"/><Relationship Id="rId16" Type="http://schemas.openxmlformats.org/officeDocument/2006/relationships/hyperlink" Target="https://thedeck.org.au/wp-content/uploads/2022/07/Go-for-Gold-Legacy-Report-Q-Shelter.pdf?utm_source=2021+contacts&amp;utm_campaign=75fa032366-EMAIL_CAMPAIGN_2021_12_21_11_57_COPY_01&amp;utm_medium=email&amp;utm_term=0_e86d835b40-75fa032366-617154533&amp;mc_cid=75fa032366&amp;mc_eid=805c1761a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qld.gov.au/view/html/asmade/sl-2022-0095" TargetMode="External"/><Relationship Id="rId5" Type="http://schemas.openxmlformats.org/officeDocument/2006/relationships/styles" Target="styles.xml"/><Relationship Id="rId15" Type="http://schemas.openxmlformats.org/officeDocument/2006/relationships/hyperlink" Target="https://www.health.gov.au/resources/collections/coronavirus-covid-19-easy-read-resources" TargetMode="External"/><Relationship Id="rId10" Type="http://schemas.openxmlformats.org/officeDocument/2006/relationships/hyperlink" Target="https://www.rta.qld.gov.au/rental-law-chang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gov.au/sites/default/files/documents/2022/03/australia-s-primary-health-care-10-year-plan-2022-2032-future-focused-primary-health-care-australia-s-primary-health-care-10-year-plan-2022-20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6" ma:contentTypeDescription="Create a new document." ma:contentTypeScope="" ma:versionID="1d7df6aee4c57cf84948f5d80fe8e277">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278863c8d90c3980101870c71c3c1099"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8D6A0-8D46-4311-A881-AE940FD8B76F}">
  <ds:schemaRefs>
    <ds:schemaRef ds:uri="http://schemas.microsoft.com/office/2006/metadata/properties"/>
    <ds:schemaRef ds:uri="http://schemas.microsoft.com/office/infopath/2007/PartnerControls"/>
    <ds:schemaRef ds:uri="feada2a6-e873-47a7-9c3f-674812c2fce9"/>
    <ds:schemaRef ds:uri="d6474d21-96ee-4f02-9831-07186c4120e3"/>
  </ds:schemaRefs>
</ds:datastoreItem>
</file>

<file path=customXml/itemProps2.xml><?xml version="1.0" encoding="utf-8"?>
<ds:datastoreItem xmlns:ds="http://schemas.openxmlformats.org/officeDocument/2006/customXml" ds:itemID="{66696A3C-6B17-4B59-B1EE-B38F6FC21358}">
  <ds:schemaRefs>
    <ds:schemaRef ds:uri="http://schemas.microsoft.com/sharepoint/v3/contenttype/forms"/>
  </ds:schemaRefs>
</ds:datastoreItem>
</file>

<file path=customXml/itemProps3.xml><?xml version="1.0" encoding="utf-8"?>
<ds:datastoreItem xmlns:ds="http://schemas.openxmlformats.org/officeDocument/2006/customXml" ds:itemID="{E93DBED2-BF9C-4594-B855-FE5406ED3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Links>
    <vt:vector size="48" baseType="variant">
      <vt:variant>
        <vt:i4>5701642</vt:i4>
      </vt:variant>
      <vt:variant>
        <vt:i4>21</vt:i4>
      </vt:variant>
      <vt:variant>
        <vt:i4>0</vt:i4>
      </vt:variant>
      <vt:variant>
        <vt:i4>5</vt:i4>
      </vt:variant>
      <vt:variant>
        <vt:lpwstr>https://www.anglicare.asn.au/wp-content/uploads/2022/07/Homes-for-All.pdf</vt:lpwstr>
      </vt:variant>
      <vt:variant>
        <vt:lpwstr/>
      </vt:variant>
      <vt:variant>
        <vt:i4>4194312</vt:i4>
      </vt:variant>
      <vt:variant>
        <vt:i4>18</vt:i4>
      </vt:variant>
      <vt:variant>
        <vt:i4>0</vt:i4>
      </vt:variant>
      <vt:variant>
        <vt:i4>5</vt:i4>
      </vt:variant>
      <vt:variant>
        <vt:lpwstr>https://thedeck.org.au/wp-content/uploads/2022/07/Go-for-Gold-Legacy-Report-Q-Shelter.pdf?utm_source=2021+contacts&amp;utm_campaign=75fa032366-EMAIL_CAMPAIGN_2021_12_21_11_57_COPY_01&amp;utm_medium=email&amp;utm_term=0_e86d835b40-75fa032366-617154533&amp;mc_cid=75fa032366&amp;mc_eid=805c1761aa</vt:lpwstr>
      </vt:variant>
      <vt:variant>
        <vt:lpwstr/>
      </vt:variant>
      <vt:variant>
        <vt:i4>1048607</vt:i4>
      </vt:variant>
      <vt:variant>
        <vt:i4>15</vt:i4>
      </vt:variant>
      <vt:variant>
        <vt:i4>0</vt:i4>
      </vt:variant>
      <vt:variant>
        <vt:i4>5</vt:i4>
      </vt:variant>
      <vt:variant>
        <vt:lpwstr>https://www.health.gov.au/resources/collections/coronavirus-covid-19-easy-read-resources</vt:lpwstr>
      </vt:variant>
      <vt:variant>
        <vt:lpwstr/>
      </vt:variant>
      <vt:variant>
        <vt:i4>1835015</vt:i4>
      </vt:variant>
      <vt:variant>
        <vt:i4>12</vt:i4>
      </vt:variant>
      <vt:variant>
        <vt:i4>0</vt:i4>
      </vt:variant>
      <vt:variant>
        <vt:i4>5</vt:i4>
      </vt:variant>
      <vt:variant>
        <vt:lpwstr>https://www.health.gov.au/sites/default/files/documents/2022/03/australia-s-primary-health-care-10-year-plan-2022-2032-future-focused-primary-health-care-australia-s-primary-health-care-10-year-plan-2022-2032.pdf</vt:lpwstr>
      </vt:variant>
      <vt:variant>
        <vt:lpwstr/>
      </vt:variant>
      <vt:variant>
        <vt:i4>4784210</vt:i4>
      </vt:variant>
      <vt:variant>
        <vt:i4>9</vt:i4>
      </vt:variant>
      <vt:variant>
        <vt:i4>0</vt:i4>
      </vt:variant>
      <vt:variant>
        <vt:i4>5</vt:i4>
      </vt:variant>
      <vt:variant>
        <vt:lpwstr>https://www.qld.gov.au/health/conditions/health-alerts/coronavirus-covid-19/exposed-to-covid/covid-testing-in-queensland/free-rat-concession-card-qld</vt:lpwstr>
      </vt:variant>
      <vt:variant>
        <vt:lpwstr>where-to-get-rat</vt:lpwstr>
      </vt:variant>
      <vt:variant>
        <vt:i4>1769498</vt:i4>
      </vt:variant>
      <vt:variant>
        <vt:i4>6</vt:i4>
      </vt:variant>
      <vt:variant>
        <vt:i4>0</vt:i4>
      </vt:variant>
      <vt:variant>
        <vt:i4>5</vt:i4>
      </vt:variant>
      <vt:variant>
        <vt:lpwstr>https://www.rta.qld.gov.au/rental-law-changes</vt:lpwstr>
      </vt:variant>
      <vt:variant>
        <vt:lpwstr/>
      </vt:variant>
      <vt:variant>
        <vt:i4>4980738</vt:i4>
      </vt:variant>
      <vt:variant>
        <vt:i4>3</vt:i4>
      </vt:variant>
      <vt:variant>
        <vt:i4>0</vt:i4>
      </vt:variant>
      <vt:variant>
        <vt:i4>5</vt:i4>
      </vt:variant>
      <vt:variant>
        <vt:lpwstr>https://www.legislation.qld.gov.au/view/html/asmade/sl-2022-0095</vt:lpwstr>
      </vt:variant>
      <vt:variant>
        <vt:lpwstr/>
      </vt:variant>
      <vt:variant>
        <vt:i4>1769498</vt:i4>
      </vt:variant>
      <vt:variant>
        <vt:i4>0</vt:i4>
      </vt:variant>
      <vt:variant>
        <vt:i4>0</vt:i4>
      </vt:variant>
      <vt:variant>
        <vt:i4>5</vt:i4>
      </vt:variant>
      <vt:variant>
        <vt:lpwstr>https://www.rta.qld.gov.au/rental-law-changes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Malcolm</dc:creator>
  <cp:keywords/>
  <dc:description/>
  <cp:lastModifiedBy>Stephen Coulter</cp:lastModifiedBy>
  <cp:revision>2</cp:revision>
  <dcterms:created xsi:type="dcterms:W3CDTF">2022-08-05T02:56:00Z</dcterms:created>
  <dcterms:modified xsi:type="dcterms:W3CDTF">2022-08-05T02:56:00Z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